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6" w:rsidRPr="00DE3426" w:rsidRDefault="00DE3426" w:rsidP="00DE34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на движение капитала в России</w:t>
      </w:r>
    </w:p>
    <w:p w:rsidR="00DE3426" w:rsidRPr="00DE3426" w:rsidRDefault="00DE3426" w:rsidP="00DE34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Ахметова Д.К.</w:t>
      </w:r>
    </w:p>
    <w:p w:rsidR="00DE3426" w:rsidRPr="00DE3426" w:rsidRDefault="00DE3426" w:rsidP="00DE34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Студентка</w:t>
      </w:r>
      <w:r w:rsidR="009D3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магистратуры 2 г.о.</w:t>
      </w:r>
    </w:p>
    <w:p w:rsidR="00DE3426" w:rsidRPr="00DE3426" w:rsidRDefault="00DE3426" w:rsidP="00DE34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имени М.В.Ломоносова,</w:t>
      </w:r>
    </w:p>
    <w:p w:rsidR="00DE3426" w:rsidRPr="00DE3426" w:rsidRDefault="00DE3426" w:rsidP="00DE34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экономический факультет, Москва, Россия</w:t>
      </w:r>
    </w:p>
    <w:p w:rsidR="00DE3426" w:rsidRPr="00DE3426" w:rsidRDefault="00DE3426" w:rsidP="00DE34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E-mail: </w:t>
      </w:r>
      <w:hyperlink r:id="rId8" w:history="1">
        <w:r w:rsidRPr="00DE342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akhmetova.d@yandex.ru</w:t>
        </w:r>
      </w:hyperlink>
    </w:p>
    <w:p w:rsidR="00DE3426" w:rsidRPr="003F4785" w:rsidRDefault="00DE3426" w:rsidP="00DE34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0DEA" w:rsidRPr="005D610E" w:rsidRDefault="00180DEA" w:rsidP="005D6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на движение капитала – формы контроля в виде административных и экономических регулирующих мер, реализуемых с целью стабилизации макроэкономических процессов в стране и повышения степени автономии принятия макроэкономических решений в условиях открытой национальной экономики. В мировой практике используются прямые меры по контролю оттока  капитала и притока спекулятивного капитала и косвенные меры по контролю 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DEA" w:rsidRPr="005D610E" w:rsidRDefault="00180DEA" w:rsidP="005D6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почти всего XX века лидеры мирового экономического развития использовали контроль за движением капитала,  и такой подход занимал прочное место  в системе государственного экономического регули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рования.  Начиная с 1990-х гг.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развитых странах стало утверждаться обратное мнение о необходимости полной либерализации трансграничных перемещений международного капитала и целесообразности отмены государственного контроля в этой сфере.</w:t>
      </w:r>
    </w:p>
    <w:p w:rsidR="00AD03C7" w:rsidRPr="005D610E" w:rsidRDefault="00180DEA" w:rsidP="005D6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Кризисные процессы в сфере международных финансов, образование финансовых пузырей, «внезапные остановки» и резкие изменения направленности международных потоков капитала, начавшиеся в 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привели к негативным последствиям для экономик, возродили дискуссию относительно целесообразности контроля над международными потоками капитала и использования различных ограничений. Экономисты Межд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ународного валютного фонда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настаивавшие на полной либерализации капитала, 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признали контроль за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капитала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полноправным инструментом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антикризисной политики</w:t>
      </w:r>
      <w:r w:rsidR="00E96A8F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</w:t>
      </w:r>
      <w:r w:rsidR="00E96A8F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экономическую стабильность развивающихся стран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120E" w:rsidRP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A8F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ограничению движения капитала использовались в 1990-2000 гг. в Бразилии, Чили, Колумбии, Тайване, Таиланде и ряде других стран и доказали, что контроль за д</w:t>
      </w:r>
      <w:r w:rsidR="0092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вижением капитала </w:t>
      </w:r>
      <w:r w:rsidR="00E96A8F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устойчивость экономики во время кризиса. Кроме того, так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подход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использован Индией и Китаем 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защиты национальных финансовых систем от негативного влияния извне, и мировой финансово-экономический кризис 2008 г. показал его эффективность.</w:t>
      </w:r>
      <w:r w:rsidR="00AD03C7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3C7" w:rsidRPr="005D610E" w:rsidRDefault="00AD03C7" w:rsidP="005D6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на приток иностранных инвестиций последние ограничения на движение капитала в России были сняты в 2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006 г.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положительный эффект от данной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возник только для капитала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вывезенного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оффшорные зо</w:t>
      </w:r>
      <w:r w:rsidR="0004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и оказался краткосрочным. В 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г., во время финансового кризиса, </w:t>
      </w:r>
      <w:r w:rsidR="007D1A65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вывоз  капитала из России 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более 130 млрд. долл.</w:t>
      </w:r>
      <w:r w:rsidR="007D1A65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США, в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за послед</w:t>
      </w:r>
      <w:r w:rsidR="007D1A65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6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вывоз</w:t>
      </w:r>
      <w:r w:rsidR="007D1A65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 составил около 420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долл. </w:t>
      </w:r>
      <w:r w:rsidR="00276B9B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США. </w:t>
      </w:r>
    </w:p>
    <w:p w:rsidR="00AD03C7" w:rsidRPr="005D610E" w:rsidRDefault="00276B9B" w:rsidP="005D6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направленности 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 капитала, поступающих в страну и утекаю</w:t>
      </w:r>
      <w:r w:rsidR="0004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из нее, показал следующее.  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Приток иностранного кап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 в Россию в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преимущественно связан с привлечением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 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спекулятивного капитала, растущего в последние несколько лет внушительными темпами</w:t>
      </w:r>
      <w:r w:rsidR="00E60B13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7428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Реальный приток прямых вложений в российскую экономику был несоизмеримо малым по сравнению с привлечением спекулятивного капитала, а портфельные инвестиции, 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носили</w:t>
      </w:r>
      <w:r w:rsidR="006B7428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скорее, краткосрочный характер.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 доля привлеченного из-за рубежа капитала имеет российское происхождение,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 подтвер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ждается 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страновым распределением ввозимого в Россию капитала. Большая его часть осуществляется либо через страны с облегченным налоговым режимом и страны – политические убежища (Нидерланды, Великобритания, Люксембург), либо через оф</w:t>
      </w:r>
      <w:r w:rsidR="0058120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шорные зоны (Кипр (исключен из списка оффшорных зон с 01.01.2013 г.), 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Виргинские острова).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428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 капитала из России на </w:t>
      </w:r>
      <w:r w:rsidR="006B7428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протяжении последних лет характеризовался консервативной структурой. Основными формами ро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ссийских инвестиций за границу </w:t>
      </w:r>
      <w:r w:rsidR="006B7428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 предоставление сс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и займов в различных формах, </w:t>
      </w:r>
      <w:r w:rsidR="006B7428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  <w:r w:rsidR="003A19B2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</w:t>
      </w:r>
      <w:r w:rsidR="006B7428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инвестиции</w:t>
      </w:r>
      <w:r w:rsidR="003F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доля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портфельных инвестиций резидентов за рубеж</w:t>
      </w:r>
      <w:r w:rsidR="003F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структуре экспортируемого капитала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0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незначительной</w:t>
      </w:r>
      <w:r w:rsidR="0013671D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Выраженной специфической чертой экспорта российского капитала является стабильно высокая доля его вывоза в нерегистрируемых формах. </w:t>
      </w:r>
    </w:p>
    <w:p w:rsidR="0013671D" w:rsidRPr="005D610E" w:rsidRDefault="0013671D" w:rsidP="005D6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движение капитала позволяет странам с небольшим уровнем сбережений привлекать средства для финансирования эффективных инвестиционных проектов, помогает диверсифицировать инвестиционные риски, стимулирует международную торговлю и способствует развитию финансовых рынков. Однако все эти плюсы отступают на второй план, если большую часть потоков капитала составляет спекулятивный капитал, носящий временный характер, способный неожиданно прекратиться. В России доля спекулятивного капитала в структуре возимого/вывозимого капитала высока</w:t>
      </w:r>
      <w:r w:rsidR="00A64F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приводит к тому, что все чаще обсуждается вопрос о целесообразности использования ограничений на движение капитала в России.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связи </w:t>
      </w:r>
      <w:r w:rsidR="00A6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должны разработать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 мер по предотвращению ввоза в страну и вывоз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страны спекулятивного капитала, к которым </w:t>
      </w:r>
      <w:r w:rsidR="00A6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отнести:</w:t>
      </w:r>
    </w:p>
    <w:p w:rsidR="0013671D" w:rsidRPr="005D610E" w:rsidRDefault="0013671D" w:rsidP="005D610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привлечения прямых иностранных инвестиций и ограничение приобретения минимальных пакетов акций для торгов иностранными агентами;</w:t>
      </w:r>
    </w:p>
    <w:p w:rsidR="0013671D" w:rsidRPr="005D610E" w:rsidRDefault="0013671D" w:rsidP="005D610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требований к минимальным срокам иностранных займов для резидентов и установление требований по процентным ставкам к таким займам;</w:t>
      </w:r>
    </w:p>
    <w:p w:rsidR="0013671D" w:rsidRPr="005D610E" w:rsidRDefault="0013671D" w:rsidP="005D610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предельной доли иностранного инвестора, зарегистрированного в оф</w:t>
      </w:r>
      <w:r w:rsidR="00AB3EB1"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D610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шорной зоне, при обнаружении рисков репатриации капитала.</w:t>
      </w:r>
    </w:p>
    <w:p w:rsidR="0013671D" w:rsidRPr="00311721" w:rsidRDefault="0013671D" w:rsidP="005D610E">
      <w:pPr>
        <w:tabs>
          <w:tab w:val="left" w:pos="4111"/>
        </w:tabs>
        <w:spacing w:before="14" w:after="1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EA" w:rsidRDefault="0058120E" w:rsidP="005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ература</w:t>
      </w:r>
    </w:p>
    <w:p w:rsidR="0058120E" w:rsidRPr="0058120E" w:rsidRDefault="0058120E" w:rsidP="005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26" w:rsidRPr="0058120E" w:rsidRDefault="00DE3426" w:rsidP="0058120E">
      <w:pPr>
        <w:pStyle w:val="Style19"/>
        <w:widowControl/>
        <w:numPr>
          <w:ilvl w:val="0"/>
          <w:numId w:val="4"/>
        </w:numPr>
        <w:spacing w:line="240" w:lineRule="auto"/>
        <w:contextualSpacing/>
      </w:pPr>
      <w:r w:rsidRPr="0058120E">
        <w:rPr>
          <w:lang w:val="en-US"/>
        </w:rPr>
        <w:t>Ostry Jonathan D., Ghosh Atish R., Habermeier Karl, Chamon Marcos, Qureshi Mahvash S., Reinhardt Dennis B.S. Capital In</w:t>
      </w:r>
      <w:r w:rsidRPr="0058120E">
        <w:t>ﬂ</w:t>
      </w:r>
      <w:r w:rsidRPr="0058120E">
        <w:rPr>
          <w:lang w:val="en-US"/>
        </w:rPr>
        <w:t xml:space="preserve">ows: The Role of Controls. </w:t>
      </w:r>
      <w:r w:rsidRPr="0058120E">
        <w:t>SPN/10/04. February 19, 2010 – 30 р.</w:t>
      </w:r>
    </w:p>
    <w:p w:rsidR="0058120E" w:rsidRPr="0058120E" w:rsidRDefault="0058120E" w:rsidP="0058120E">
      <w:pPr>
        <w:pStyle w:val="Style19"/>
        <w:widowControl/>
        <w:numPr>
          <w:ilvl w:val="0"/>
          <w:numId w:val="4"/>
        </w:numPr>
        <w:spacing w:line="240" w:lineRule="auto"/>
        <w:contextualSpacing/>
      </w:pPr>
      <w:r w:rsidRPr="0058120E">
        <w:t>С.С.Сулакшин, М.В.Вилисов, В.В.Аверков, Г.Г.Аминова, С.С.Балмасов, М.В.Деева, А.В.Каменский, И.Г.Рыжаков, Е.С.Сазонова, О.Н.Скороходова, А.Н.Димченко. Отток капитала из России: проблемы и решения // Труды Центра проблемного анализа и государственно-управленческого проектирования. Вып. № 26. М.: Научный эксперт, 2013. </w:t>
      </w:r>
    </w:p>
    <w:p w:rsidR="0058120E" w:rsidRPr="0058120E" w:rsidRDefault="0058120E" w:rsidP="0058120E">
      <w:pPr>
        <w:pStyle w:val="Style19"/>
        <w:widowControl/>
        <w:numPr>
          <w:ilvl w:val="0"/>
          <w:numId w:val="4"/>
        </w:numPr>
        <w:spacing w:line="240" w:lineRule="auto"/>
        <w:contextualSpacing/>
      </w:pPr>
      <w:r w:rsidRPr="0058120E">
        <w:t>www.gks.ru (Федеральная служба государственной статистики России)</w:t>
      </w:r>
      <w:r>
        <w:t>.</w:t>
      </w:r>
    </w:p>
    <w:p w:rsidR="00DE3426" w:rsidRPr="0058120E" w:rsidRDefault="00C67768" w:rsidP="0058120E">
      <w:pPr>
        <w:pStyle w:val="Style19"/>
        <w:widowControl/>
        <w:numPr>
          <w:ilvl w:val="0"/>
          <w:numId w:val="4"/>
        </w:numPr>
        <w:spacing w:line="240" w:lineRule="auto"/>
        <w:contextualSpacing/>
      </w:pPr>
      <w:hyperlink r:id="rId9" w:history="1">
        <w:r w:rsidR="00DE3426" w:rsidRPr="0058120E">
          <w:t>www.cbr.ru</w:t>
        </w:r>
      </w:hyperlink>
      <w:r w:rsidR="00DE3426" w:rsidRPr="0058120E">
        <w:t xml:space="preserve"> (Банк России)</w:t>
      </w:r>
      <w:r w:rsidR="0058120E">
        <w:t>.</w:t>
      </w:r>
    </w:p>
    <w:sectPr w:rsidR="00DE3426" w:rsidRPr="0058120E" w:rsidSect="0031172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23" w:rsidRDefault="00305B23" w:rsidP="00180DEA">
      <w:pPr>
        <w:spacing w:after="0" w:line="240" w:lineRule="auto"/>
      </w:pPr>
      <w:r>
        <w:separator/>
      </w:r>
    </w:p>
  </w:endnote>
  <w:endnote w:type="continuationSeparator" w:id="1">
    <w:p w:rsidR="00305B23" w:rsidRDefault="00305B23" w:rsidP="001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23" w:rsidRDefault="00305B23" w:rsidP="00180DEA">
      <w:pPr>
        <w:spacing w:after="0" w:line="240" w:lineRule="auto"/>
      </w:pPr>
      <w:r>
        <w:separator/>
      </w:r>
    </w:p>
  </w:footnote>
  <w:footnote w:type="continuationSeparator" w:id="1">
    <w:p w:rsidR="00305B23" w:rsidRDefault="00305B23" w:rsidP="0018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64A"/>
    <w:multiLevelType w:val="hybridMultilevel"/>
    <w:tmpl w:val="FDD6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6A5A"/>
    <w:multiLevelType w:val="hybridMultilevel"/>
    <w:tmpl w:val="6F26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62B39"/>
    <w:multiLevelType w:val="hybridMultilevel"/>
    <w:tmpl w:val="EE4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A257F"/>
    <w:multiLevelType w:val="hybridMultilevel"/>
    <w:tmpl w:val="7C1EE6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EA"/>
    <w:rsid w:val="00021500"/>
    <w:rsid w:val="00043B16"/>
    <w:rsid w:val="0013671D"/>
    <w:rsid w:val="001662DE"/>
    <w:rsid w:val="00180DEA"/>
    <w:rsid w:val="00276B9B"/>
    <w:rsid w:val="00305B23"/>
    <w:rsid w:val="00311721"/>
    <w:rsid w:val="003A19B2"/>
    <w:rsid w:val="003F4785"/>
    <w:rsid w:val="00421995"/>
    <w:rsid w:val="00475C76"/>
    <w:rsid w:val="00574E9F"/>
    <w:rsid w:val="0058120E"/>
    <w:rsid w:val="005D610E"/>
    <w:rsid w:val="006B7428"/>
    <w:rsid w:val="007D1A65"/>
    <w:rsid w:val="008359AB"/>
    <w:rsid w:val="00926255"/>
    <w:rsid w:val="009D361B"/>
    <w:rsid w:val="00A264F7"/>
    <w:rsid w:val="00A64F6D"/>
    <w:rsid w:val="00AB3EB1"/>
    <w:rsid w:val="00AD03C7"/>
    <w:rsid w:val="00C67768"/>
    <w:rsid w:val="00DE3426"/>
    <w:rsid w:val="00E60B13"/>
    <w:rsid w:val="00E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D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0D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DE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71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3426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8120E"/>
    <w:rPr>
      <w:i/>
      <w:iCs/>
    </w:rPr>
  </w:style>
  <w:style w:type="character" w:styleId="ab">
    <w:name w:val="Strong"/>
    <w:basedOn w:val="a0"/>
    <w:uiPriority w:val="22"/>
    <w:qFormat/>
    <w:rsid w:val="0058120E"/>
    <w:rPr>
      <w:b/>
      <w:bCs/>
    </w:rPr>
  </w:style>
  <w:style w:type="character" w:customStyle="1" w:styleId="apple-converted-space">
    <w:name w:val="apple-converted-space"/>
    <w:basedOn w:val="a0"/>
    <w:rsid w:val="0058120E"/>
  </w:style>
  <w:style w:type="paragraph" w:customStyle="1" w:styleId="Style19">
    <w:name w:val="Style19"/>
    <w:basedOn w:val="a"/>
    <w:rsid w:val="0058120E"/>
    <w:pPr>
      <w:widowControl w:val="0"/>
      <w:autoSpaceDE w:val="0"/>
      <w:autoSpaceDN w:val="0"/>
      <w:adjustRightInd w:val="0"/>
      <w:spacing w:after="0" w:line="250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etova.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2689-8AAF-4AB6-8372-93FD407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dcterms:created xsi:type="dcterms:W3CDTF">2014-02-22T08:09:00Z</dcterms:created>
  <dcterms:modified xsi:type="dcterms:W3CDTF">2014-02-24T18:25:00Z</dcterms:modified>
</cp:coreProperties>
</file>