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EF" w:rsidRPr="001C6F88" w:rsidRDefault="00AC23CC" w:rsidP="00C04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Вопросительные</w:t>
      </w:r>
      <w:r w:rsidR="007F25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инфинитивные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предложения как сигнал коммуникативной неудачи</w:t>
      </w:r>
    </w:p>
    <w:p w:rsidR="008159EF" w:rsidRPr="001C6F88" w:rsidRDefault="008159EF" w:rsidP="00C04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6F88">
        <w:rPr>
          <w:rFonts w:ascii="Times New Roman" w:hAnsi="Times New Roman" w:cs="Times New Roman"/>
          <w:sz w:val="24"/>
          <w:szCs w:val="24"/>
          <w:lang w:val="ru-RU"/>
        </w:rPr>
        <w:t>Дастамуз Саиде</w:t>
      </w:r>
    </w:p>
    <w:p w:rsidR="008159EF" w:rsidRPr="001C6F88" w:rsidRDefault="00E36802" w:rsidP="00C04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Преподавательница</w:t>
      </w:r>
      <w:r w:rsidR="00AC23CC">
        <w:rPr>
          <w:rFonts w:ascii="Times New Roman" w:hAnsi="Times New Roman" w:cs="Times New Roman"/>
          <w:sz w:val="24"/>
          <w:szCs w:val="24"/>
          <w:lang w:val="ru-RU"/>
        </w:rPr>
        <w:t xml:space="preserve"> тегеранского государственного университета «Аль-Захра»</w:t>
      </w:r>
      <w:bookmarkStart w:id="0" w:name="_GoBack"/>
      <w:bookmarkEnd w:id="0"/>
    </w:p>
    <w:p w:rsidR="008159EF" w:rsidRPr="001C6F88" w:rsidRDefault="00AC23CC" w:rsidP="00C04A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Тегеран</w:t>
      </w:r>
      <w:r w:rsidR="008159EF" w:rsidRPr="001C6F8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Иран</w:t>
      </w:r>
    </w:p>
    <w:p w:rsidR="000560D6" w:rsidRDefault="000560D6" w:rsidP="00BA2D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0D6">
        <w:rPr>
          <w:rFonts w:ascii="Times New Roman" w:hAnsi="Times New Roman" w:cs="Times New Roman"/>
          <w:sz w:val="24"/>
          <w:szCs w:val="24"/>
          <w:lang w:val="ru-RU"/>
        </w:rPr>
        <w:t>Основной функцией вопросительных предложений является выражение вопроса. Вопрос предполагает, что говорящий, не зная ответа и полагая, что адресат знает ответ, побуждает адресата сообщить ему нужную информацию. Кроме того, вопросительные предложения могут выполнят целый ряд вторичных функций, которые реализуются тогда, когда в ситуации общения нарушены те или иные условия успешности речевого акта вопроса (об условиях успешности речевого акта вопроса см., например, [Кобозева, 1988]).</w:t>
      </w:r>
    </w:p>
    <w:p w:rsidR="000B163B" w:rsidRDefault="00AC23CC" w:rsidP="000B16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3CC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Коммуникативной неудачей принято называть «полное или частичное непонимание высказывания партнером коммуникации, т. е. неосуществление или неполное осуществление коммуникативного намерения говорящего» [Ермакова, Земская 1993: 31]. Например: </w:t>
      </w:r>
      <w:r w:rsidRPr="00AC23CC">
        <w:rPr>
          <w:rFonts w:ascii="Times New Roman" w:hAnsi="Times New Roman" w:cs="Times New Roman"/>
          <w:i/>
          <w:iCs/>
          <w:sz w:val="24"/>
          <w:szCs w:val="24"/>
          <w:lang w:val="ru-RU"/>
        </w:rPr>
        <w:t>– Простите, у вас нет часов? – Есть</w:t>
      </w:r>
      <w:r w:rsidRPr="00AC23CC">
        <w:rPr>
          <w:rFonts w:ascii="Times New Roman" w:hAnsi="Times New Roman" w:cs="Times New Roman"/>
          <w:sz w:val="24"/>
          <w:szCs w:val="24"/>
          <w:lang w:val="ru-RU"/>
        </w:rPr>
        <w:t xml:space="preserve"> (пример М. А. Кронгауза [Кронгауз 2005: 290]) – в данном случае один из коммуникантов понял (или сделал вид, что понял) просьбу собеседника как вопрос.</w:t>
      </w:r>
      <w:r w:rsidR="008159EF" w:rsidRPr="001C6F8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C23CC">
        <w:rPr>
          <w:lang w:val="ru-RU"/>
        </w:rPr>
        <w:t xml:space="preserve"> </w:t>
      </w:r>
      <w:r w:rsidRPr="00AC23CC">
        <w:rPr>
          <w:rFonts w:ascii="Times New Roman" w:hAnsi="Times New Roman" w:cs="Times New Roman"/>
          <w:sz w:val="24"/>
          <w:szCs w:val="24"/>
          <w:lang w:val="ru-RU"/>
        </w:rPr>
        <w:t xml:space="preserve">Причиной коммуникативного провала может, в частности, стать несоблюдение одного из условий успешности речевого акта, см. следующий диалог: </w:t>
      </w:r>
      <w:r w:rsidRPr="00AC23C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– Твой брат уже приехал? </w:t>
      </w:r>
      <w:r w:rsidRPr="007F25B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– Откуда я знаю?</w:t>
      </w:r>
      <w:r w:rsidRPr="00AC23CC">
        <w:rPr>
          <w:rFonts w:ascii="Times New Roman" w:hAnsi="Times New Roman" w:cs="Times New Roman"/>
          <w:sz w:val="24"/>
          <w:szCs w:val="24"/>
          <w:lang w:val="ru-RU"/>
        </w:rPr>
        <w:t xml:space="preserve"> Спрашивающий не получил ответа на вопрос, потому что адресат не имеет (или делает вид, что не имеет) соответствующей информации, т. е. нарушается условие успешности вопроса «адресат знает ответ». </w:t>
      </w:r>
    </w:p>
    <w:p w:rsidR="00F33F1F" w:rsidRDefault="00AC23CC" w:rsidP="00F56C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3CC">
        <w:rPr>
          <w:rFonts w:ascii="Times New Roman" w:hAnsi="Times New Roman" w:cs="Times New Roman"/>
          <w:sz w:val="24"/>
          <w:szCs w:val="24"/>
          <w:lang w:val="ru-RU"/>
        </w:rPr>
        <w:t>Сигналом коммуникативной неудачи такого типа может служить и вопросительное инфинитивное предложение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163B">
        <w:rPr>
          <w:rFonts w:ascii="Times New Roman" w:hAnsi="Times New Roman" w:cs="Times New Roman"/>
          <w:sz w:val="24"/>
          <w:szCs w:val="24"/>
          <w:lang w:val="ru-RU"/>
        </w:rPr>
        <w:t xml:space="preserve"> Они</w:t>
      </w:r>
      <w:r w:rsidR="00F33F1F" w:rsidRPr="00F33F1F">
        <w:rPr>
          <w:rFonts w:ascii="Times New Roman" w:hAnsi="Times New Roman" w:cs="Times New Roman"/>
          <w:sz w:val="24"/>
          <w:szCs w:val="24"/>
          <w:lang w:val="ru-RU"/>
        </w:rPr>
        <w:t xml:space="preserve"> часто используются в качестве реплики реакции на вопрос адресата, который по той или иной причине представляется г</w:t>
      </w:r>
      <w:r w:rsidR="00F56CB2">
        <w:rPr>
          <w:rFonts w:ascii="Times New Roman" w:hAnsi="Times New Roman" w:cs="Times New Roman"/>
          <w:sz w:val="24"/>
          <w:szCs w:val="24"/>
          <w:lang w:val="ru-RU"/>
        </w:rPr>
        <w:t xml:space="preserve">оворящему неуместным, </w:t>
      </w:r>
      <w:r w:rsidR="00F33F1F" w:rsidRPr="00F33F1F">
        <w:rPr>
          <w:rFonts w:ascii="Times New Roman" w:hAnsi="Times New Roman" w:cs="Times New Roman"/>
          <w:sz w:val="24"/>
          <w:szCs w:val="24"/>
          <w:lang w:val="ru-RU"/>
        </w:rPr>
        <w:t>так как адресат не получает ответа на свой вопрос, т. е. не достигает своей коммуникативной цели, см.:</w:t>
      </w:r>
      <w:r w:rsidR="00BA2D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3F1F" w:rsidRPr="00F33F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Улучив момент, я за рукав втянул уже изрядно подвыпившего Коротаева в кабинет и спросил, как стихотворение у Коли, пишется ли? – </w:t>
      </w:r>
      <w:r w:rsidR="00F33F1F" w:rsidRPr="00F33F1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Да откуда мне знать?</w:t>
      </w:r>
      <w:r w:rsidR="00F33F1F" w:rsidRPr="00F33F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Он же их в уме слагает и, как потом он говорит, записывает столбиком</w:t>
      </w:r>
      <w:r w:rsidR="00F33F1F" w:rsidRPr="00F33F1F">
        <w:rPr>
          <w:rFonts w:ascii="Times New Roman" w:hAnsi="Times New Roman" w:cs="Times New Roman"/>
          <w:sz w:val="24"/>
          <w:szCs w:val="24"/>
          <w:lang w:val="ru-RU"/>
        </w:rPr>
        <w:t xml:space="preserve"> (Астафьев. НКРЯ).</w:t>
      </w:r>
      <w:r w:rsidR="00BA2D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3F1F" w:rsidRPr="00F33F1F">
        <w:rPr>
          <w:rFonts w:ascii="Times New Roman" w:hAnsi="Times New Roman" w:cs="Times New Roman"/>
          <w:sz w:val="24"/>
          <w:szCs w:val="24"/>
          <w:lang w:val="ru-RU"/>
        </w:rPr>
        <w:t>В данном случае вопрос остался без ответа, потому что не выполняется одно из предварительных условий его успешности – «адресат знает ответ».</w:t>
      </w:r>
    </w:p>
    <w:p w:rsidR="00D16387" w:rsidRPr="00D16387" w:rsidRDefault="00D16387" w:rsidP="00F56C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fa-IR"/>
        </w:rPr>
      </w:pPr>
      <w:r w:rsidRPr="00D16387">
        <w:rPr>
          <w:rFonts w:ascii="Times New Roman" w:hAnsi="Times New Roman" w:cs="Times New Roman"/>
          <w:sz w:val="24"/>
          <w:szCs w:val="24"/>
          <w:lang w:val="ru-RU" w:bidi="fa-IR"/>
        </w:rPr>
        <w:t>Вместе с тем указание на неуместность вопроса адресата может сопровождаться ответом на него, см. следующие примеры:</w:t>
      </w:r>
      <w:r w:rsidR="00BA2D49">
        <w:rPr>
          <w:rFonts w:ascii="Times New Roman" w:hAnsi="Times New Roman" w:cs="Times New Roman"/>
          <w:sz w:val="24"/>
          <w:szCs w:val="24"/>
          <w:lang w:val="ru-RU" w:bidi="fa-IR"/>
        </w:rPr>
        <w:t xml:space="preserve"> </w:t>
      </w:r>
      <w:r w:rsidRPr="007F25BC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– Куда они делись? – </w:t>
      </w:r>
      <w:r w:rsidRPr="007F25B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fa-IR"/>
        </w:rPr>
        <w:t>Ну, откуда мне знать.</w:t>
      </w:r>
      <w:r w:rsidRPr="007F25BC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 Органы, наверное, забрали </w:t>
      </w:r>
      <w:r w:rsidRPr="00791CF2">
        <w:rPr>
          <w:rFonts w:ascii="Times New Roman" w:hAnsi="Times New Roman" w:cs="Times New Roman"/>
          <w:sz w:val="24"/>
          <w:szCs w:val="24"/>
          <w:lang w:val="ru-RU" w:bidi="fa-IR"/>
        </w:rPr>
        <w:t>(Тер</w:t>
      </w:r>
      <w:r w:rsidR="00BA2D49">
        <w:rPr>
          <w:rFonts w:ascii="Times New Roman" w:hAnsi="Times New Roman" w:cs="Times New Roman"/>
          <w:sz w:val="24"/>
          <w:szCs w:val="24"/>
          <w:lang w:val="ru-RU" w:bidi="fa-IR"/>
        </w:rPr>
        <w:t xml:space="preserve">ехов. НКРЯ); </w:t>
      </w:r>
      <w:r w:rsidRPr="007F25BC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– Он умер, господин Мюйр. – От чего? – От чего умирают люди? </w:t>
      </w:r>
      <w:r w:rsidRPr="00B22D6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fa-IR"/>
        </w:rPr>
        <w:t>Вам ли этого не знать.</w:t>
      </w:r>
      <w:r w:rsidRPr="007F25BC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 От жизни, господин Мюйр </w:t>
      </w:r>
      <w:r w:rsidRPr="00791CF2">
        <w:rPr>
          <w:rFonts w:ascii="Times New Roman" w:hAnsi="Times New Roman" w:cs="Times New Roman"/>
          <w:sz w:val="24"/>
          <w:szCs w:val="24"/>
          <w:lang w:val="ru-RU" w:bidi="fa-IR"/>
        </w:rPr>
        <w:t>(Левашов. НКРЯ)</w:t>
      </w:r>
      <w:r w:rsidR="00BA2D49">
        <w:rPr>
          <w:rFonts w:ascii="Times New Roman" w:hAnsi="Times New Roman" w:cs="Times New Roman"/>
          <w:sz w:val="24"/>
          <w:szCs w:val="24"/>
          <w:lang w:val="ru-RU" w:bidi="fa-IR"/>
        </w:rPr>
        <w:t xml:space="preserve">; </w:t>
      </w:r>
      <w:r w:rsidRPr="007F25BC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– С кем же война, гражданин следователь? – </w:t>
      </w:r>
      <w:r w:rsidRPr="00B22D6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fa-IR"/>
        </w:rPr>
        <w:t xml:space="preserve">Вам ли спрашивать, Фотий Иванович? </w:t>
      </w:r>
      <w:r w:rsidRPr="007F25BC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>С вашим предполагаемым противником, с кем же еще</w:t>
      </w:r>
      <w:r w:rsidRPr="00D16387">
        <w:rPr>
          <w:rFonts w:ascii="Times New Roman" w:hAnsi="Times New Roman" w:cs="Times New Roman"/>
          <w:sz w:val="24"/>
          <w:szCs w:val="24"/>
          <w:lang w:val="ru-RU" w:bidi="fa-IR"/>
        </w:rPr>
        <w:t xml:space="preserve"> (Владимов. НКРЯ).В первом примере говорящий показывает адресату, что его вопрос неуместен, так как говорящий не знает точного ответа и может лишь высказать предположение. Во втором и третьем примерах неуместность реплики адресата обусловлена нарушением другого предварительного условия успешности речевого акта вопроса – «спрашивающий не знает ответа»: по мнению говорящего, ответ очевиден (</w:t>
      </w:r>
      <w:r w:rsidRPr="00BA2D49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>От жизни, господин Мюйр; С вашим предполагаемым противником, с кем же еще</w:t>
      </w:r>
      <w:r w:rsidRPr="00D16387">
        <w:rPr>
          <w:rFonts w:ascii="Times New Roman" w:hAnsi="Times New Roman" w:cs="Times New Roman"/>
          <w:sz w:val="24"/>
          <w:szCs w:val="24"/>
          <w:lang w:val="ru-RU" w:bidi="fa-IR"/>
        </w:rPr>
        <w:t>).</w:t>
      </w:r>
    </w:p>
    <w:p w:rsidR="00D16387" w:rsidRPr="00D16387" w:rsidRDefault="00D16387" w:rsidP="00F56C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fa-IR"/>
        </w:rPr>
      </w:pPr>
      <w:r w:rsidRPr="00D16387">
        <w:rPr>
          <w:rFonts w:ascii="Times New Roman" w:hAnsi="Times New Roman" w:cs="Times New Roman"/>
          <w:sz w:val="24"/>
          <w:szCs w:val="24"/>
          <w:lang w:val="ru-RU" w:bidi="fa-IR"/>
        </w:rPr>
        <w:t xml:space="preserve">В некоторых случаях риторический вопрос, употребляясь в качестве реплики реакции на высказывание адресата, может имплицировать ответ на его вопрос, см.:– </w:t>
      </w:r>
      <w:r w:rsidRPr="00791CF2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Подковка действительно была золотая с бриллиантами? – спрашивали Аннушку. – </w:t>
      </w:r>
      <w:r w:rsidRPr="00791CF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fa-IR"/>
        </w:rPr>
        <w:t>Мне ли бриллиантов не знать</w:t>
      </w:r>
      <w:r w:rsidRPr="00791CF2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, – отвечала Аннушка </w:t>
      </w:r>
      <w:r w:rsidRPr="00791CF2">
        <w:rPr>
          <w:rFonts w:ascii="Times New Roman" w:hAnsi="Times New Roman" w:cs="Times New Roman"/>
          <w:sz w:val="24"/>
          <w:szCs w:val="24"/>
          <w:lang w:val="ru-RU" w:bidi="fa-IR"/>
        </w:rPr>
        <w:t>(Булгаков)</w:t>
      </w:r>
      <w:r w:rsidRPr="00791CF2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>;</w:t>
      </w:r>
      <w:r w:rsidR="00BA2D49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 </w:t>
      </w:r>
      <w:r w:rsidRPr="00791CF2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– Но дал-то он вам червонцы, как </w:t>
      </w:r>
      <w:r w:rsidRPr="00791CF2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lastRenderedPageBreak/>
        <w:t xml:space="preserve">вы говорите? – </w:t>
      </w:r>
      <w:r w:rsidRPr="00791CF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fa-IR"/>
        </w:rPr>
        <w:t xml:space="preserve">Мне ли червонцев не знать, – </w:t>
      </w:r>
      <w:r w:rsidRPr="00791CF2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отвечала Аннушка </w:t>
      </w:r>
      <w:r w:rsidRPr="00BA2D49">
        <w:rPr>
          <w:rFonts w:ascii="Times New Roman" w:hAnsi="Times New Roman" w:cs="Times New Roman"/>
          <w:sz w:val="24"/>
          <w:szCs w:val="24"/>
          <w:lang w:val="ru-RU" w:bidi="fa-IR"/>
        </w:rPr>
        <w:t>(Булгаков)</w:t>
      </w:r>
      <w:r w:rsidR="00BA2D49" w:rsidRPr="00BA2D49">
        <w:rPr>
          <w:rFonts w:ascii="Times New Roman" w:hAnsi="Times New Roman" w:cs="Times New Roman"/>
          <w:sz w:val="24"/>
          <w:szCs w:val="24"/>
          <w:lang w:val="ru-RU" w:bidi="fa-IR"/>
        </w:rPr>
        <w:t>;</w:t>
      </w:r>
      <w:r w:rsidR="007F0C57">
        <w:rPr>
          <w:rFonts w:ascii="Times New Roman" w:hAnsi="Times New Roman" w:cs="Times New Roman"/>
          <w:sz w:val="24"/>
          <w:szCs w:val="24"/>
          <w:lang w:val="ru-RU" w:bidi="fa-IR"/>
        </w:rPr>
        <w:t xml:space="preserve"> </w:t>
      </w:r>
      <w:r w:rsidRPr="00791CF2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– Я тебя уважаю, ну и ты не забывай, что я не фарцовщик какой-нибудь сопливый… Понял? – </w:t>
      </w:r>
      <w:r w:rsidRPr="00791CF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fa-IR"/>
        </w:rPr>
        <w:t>Как тут не понять?</w:t>
      </w:r>
      <w:r w:rsidRPr="00791CF2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 – сказал Савостьянов </w:t>
      </w:r>
      <w:r w:rsidR="007F0C57">
        <w:rPr>
          <w:rFonts w:ascii="Times New Roman" w:hAnsi="Times New Roman" w:cs="Times New Roman"/>
          <w:sz w:val="24"/>
          <w:szCs w:val="24"/>
          <w:lang w:val="ru-RU" w:bidi="fa-IR"/>
        </w:rPr>
        <w:t xml:space="preserve">(Вайнеры. НКРЯ); </w:t>
      </w:r>
      <w:r w:rsidRPr="00791CF2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– Квадрат видишь? </w:t>
      </w:r>
      <w:r w:rsidRPr="00791CF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fa-IR"/>
        </w:rPr>
        <w:t>– Чего ж его не видеть?</w:t>
      </w:r>
      <w:r w:rsidRPr="00791CF2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 Вот он … </w:t>
      </w:r>
      <w:r w:rsidR="007F0C57">
        <w:rPr>
          <w:rFonts w:ascii="Times New Roman" w:hAnsi="Times New Roman" w:cs="Times New Roman"/>
          <w:sz w:val="24"/>
          <w:szCs w:val="24"/>
          <w:lang w:val="ru-RU" w:bidi="fa-IR"/>
        </w:rPr>
        <w:t xml:space="preserve">(Судьба моя. НКРЯ); </w:t>
      </w:r>
      <w:r w:rsidRPr="00791CF2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– Дядя Коля сейчас дома? </w:t>
      </w:r>
      <w:r w:rsidRPr="00791CF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fa-IR"/>
        </w:rPr>
        <w:t>– А где же ему быть, милок?</w:t>
      </w:r>
      <w:r w:rsidRPr="00791CF2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 xml:space="preserve"> – Бабка обнажила в улыбке беззубый рот. – Сидит сиднем </w:t>
      </w:r>
      <w:r w:rsidRPr="00791CF2">
        <w:rPr>
          <w:rFonts w:ascii="Times New Roman" w:hAnsi="Times New Roman" w:cs="Times New Roman"/>
          <w:sz w:val="24"/>
          <w:szCs w:val="24"/>
          <w:lang w:val="ru-RU" w:bidi="fa-IR"/>
        </w:rPr>
        <w:t>(Троицкий. НКРЯ).</w:t>
      </w:r>
      <w:r w:rsidR="00F56CB2">
        <w:rPr>
          <w:rFonts w:ascii="Times New Roman" w:hAnsi="Times New Roman" w:cs="Times New Roman"/>
          <w:sz w:val="24"/>
          <w:szCs w:val="24"/>
          <w:lang w:val="ru-RU" w:bidi="fa-IR"/>
        </w:rPr>
        <w:t xml:space="preserve"> </w:t>
      </w:r>
      <w:r w:rsidRPr="00D16387">
        <w:rPr>
          <w:rFonts w:ascii="Times New Roman" w:hAnsi="Times New Roman" w:cs="Times New Roman"/>
          <w:sz w:val="24"/>
          <w:szCs w:val="24"/>
          <w:lang w:val="ru-RU" w:bidi="fa-IR"/>
        </w:rPr>
        <w:t xml:space="preserve">Данные риторические вопросы также актуализируют в сознании адресата информацию, из которой следует, что его речевое поведение неуместно. Так, например, Аннушка не может не знать бриллиантов и червонцев, поэтому неуместно сомневаться в достоверности ее показаний; нельзя не понять, что хотел сказать адресат, поэтому контроль над тем, понял ли его говорящий, излишен, квадрат находится в поле зрения коммуникантов, поэтому проверять, видит ли его говорящий, неуместно, и т. д. </w:t>
      </w:r>
    </w:p>
    <w:p w:rsidR="007F25BC" w:rsidRDefault="00D16387" w:rsidP="007507A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fa-IR"/>
        </w:rPr>
      </w:pPr>
      <w:r w:rsidRPr="00D16387">
        <w:rPr>
          <w:rFonts w:ascii="Times New Roman" w:hAnsi="Times New Roman" w:cs="Times New Roman"/>
          <w:sz w:val="24"/>
          <w:szCs w:val="24"/>
          <w:lang w:val="ru-RU" w:bidi="fa-IR"/>
        </w:rPr>
        <w:t>Отметим, что во всех этих примерах неуместность вопроса адресата объясняется тем, что он, по мысли говорящего, имее</w:t>
      </w:r>
      <w:r w:rsidR="007F25BC">
        <w:rPr>
          <w:rFonts w:ascii="Times New Roman" w:hAnsi="Times New Roman" w:cs="Times New Roman"/>
          <w:sz w:val="24"/>
          <w:szCs w:val="24"/>
          <w:lang w:val="ru-RU" w:bidi="fa-IR"/>
        </w:rPr>
        <w:t>т ложное исходное предположение.</w:t>
      </w:r>
      <w:r w:rsidR="00266D6C" w:rsidRPr="00266D6C">
        <w:rPr>
          <w:lang w:val="ru-RU"/>
        </w:rPr>
        <w:t xml:space="preserve"> </w:t>
      </w:r>
      <w:r w:rsidR="00266D6C" w:rsidRPr="00266D6C">
        <w:rPr>
          <w:rFonts w:ascii="Times New Roman" w:hAnsi="Times New Roman" w:cs="Times New Roman"/>
          <w:sz w:val="24"/>
          <w:szCs w:val="24"/>
          <w:lang w:val="ru-RU" w:bidi="fa-IR"/>
        </w:rPr>
        <w:t xml:space="preserve">Так, вопрос </w:t>
      </w:r>
      <w:r w:rsidR="00266D6C" w:rsidRPr="00D63FE9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>Подковка действительно была золотая с бриллиантами?</w:t>
      </w:r>
      <w:r w:rsidR="00266D6C" w:rsidRPr="00266D6C">
        <w:rPr>
          <w:rFonts w:ascii="Times New Roman" w:hAnsi="Times New Roman" w:cs="Times New Roman"/>
          <w:sz w:val="24"/>
          <w:szCs w:val="24"/>
          <w:lang w:val="ru-RU" w:bidi="fa-IR"/>
        </w:rPr>
        <w:t xml:space="preserve"> имеет исходное предположение «подковка могла не быть золотой с бриллиантами, т. е. Аннушка могла ошибиться», и ответная реплика </w:t>
      </w:r>
      <w:r w:rsidR="00266D6C" w:rsidRPr="00D63FE9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>Мне ли бриллиантов не знать</w:t>
      </w:r>
      <w:r w:rsidR="00266D6C" w:rsidRPr="00266D6C">
        <w:rPr>
          <w:rFonts w:ascii="Times New Roman" w:hAnsi="Times New Roman" w:cs="Times New Roman"/>
          <w:sz w:val="24"/>
          <w:szCs w:val="24"/>
          <w:lang w:val="ru-RU" w:bidi="fa-IR"/>
        </w:rPr>
        <w:t xml:space="preserve"> опровергает это предположение. В исходное предположение вопросов </w:t>
      </w:r>
      <w:r w:rsidR="00266D6C" w:rsidRPr="00D63FE9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>Понял?</w:t>
      </w:r>
      <w:r w:rsidR="00266D6C" w:rsidRPr="00266D6C">
        <w:rPr>
          <w:rFonts w:ascii="Times New Roman" w:hAnsi="Times New Roman" w:cs="Times New Roman"/>
          <w:sz w:val="24"/>
          <w:szCs w:val="24"/>
          <w:lang w:val="ru-RU" w:bidi="fa-IR"/>
        </w:rPr>
        <w:t xml:space="preserve"> и </w:t>
      </w:r>
      <w:r w:rsidR="00266D6C" w:rsidRPr="00D63FE9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>Квадрат видишь?</w:t>
      </w:r>
      <w:r w:rsidR="00266D6C" w:rsidRPr="00266D6C">
        <w:rPr>
          <w:rFonts w:ascii="Times New Roman" w:hAnsi="Times New Roman" w:cs="Times New Roman"/>
          <w:sz w:val="24"/>
          <w:szCs w:val="24"/>
          <w:lang w:val="ru-RU" w:bidi="fa-IR"/>
        </w:rPr>
        <w:t xml:space="preserve"> входит компонент «собеседник мог не понять» и «собеседник может не видеть квадрата», на ложность которого указывает реплика говорящего. Вопрос </w:t>
      </w:r>
      <w:r w:rsidR="00266D6C" w:rsidRPr="00D63FE9">
        <w:rPr>
          <w:rFonts w:ascii="Times New Roman" w:hAnsi="Times New Roman" w:cs="Times New Roman"/>
          <w:i/>
          <w:iCs/>
          <w:sz w:val="24"/>
          <w:szCs w:val="24"/>
          <w:lang w:val="ru-RU" w:bidi="fa-IR"/>
        </w:rPr>
        <w:t>Дядя Коля сейчас дома?</w:t>
      </w:r>
      <w:r w:rsidR="00266D6C" w:rsidRPr="00266D6C">
        <w:rPr>
          <w:rFonts w:ascii="Times New Roman" w:hAnsi="Times New Roman" w:cs="Times New Roman"/>
          <w:sz w:val="24"/>
          <w:szCs w:val="24"/>
          <w:lang w:val="ru-RU" w:bidi="fa-IR"/>
        </w:rPr>
        <w:t xml:space="preserve"> означает, что дядя Коля может быть где-то в другом месте, что отрицается последующим риторическим вопросом.</w:t>
      </w:r>
      <w:r w:rsidR="0039072E">
        <w:rPr>
          <w:rFonts w:ascii="Times New Roman" w:hAnsi="Times New Roman" w:cs="Times New Roman"/>
          <w:sz w:val="24"/>
          <w:szCs w:val="24"/>
          <w:lang w:val="ru-RU" w:bidi="fa-IR"/>
        </w:rPr>
        <w:t xml:space="preserve"> </w:t>
      </w:r>
    </w:p>
    <w:p w:rsidR="005213FD" w:rsidRDefault="005213FD" w:rsidP="000657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fa-IR"/>
        </w:rPr>
      </w:pPr>
      <w:r>
        <w:rPr>
          <w:rFonts w:ascii="Times New Roman" w:hAnsi="Times New Roman" w:cs="Times New Roman"/>
          <w:sz w:val="24"/>
          <w:szCs w:val="24"/>
          <w:lang w:val="ru-RU" w:bidi="fa-IR"/>
        </w:rPr>
        <w:t>Таким образом, вопросительные инфинитивные предложения, употребляющие в каче</w:t>
      </w:r>
      <w:r w:rsidR="0006579F">
        <w:rPr>
          <w:rFonts w:ascii="Times New Roman" w:hAnsi="Times New Roman" w:cs="Times New Roman"/>
          <w:sz w:val="24"/>
          <w:szCs w:val="24"/>
          <w:lang w:val="ru-RU" w:bidi="fa-IR"/>
        </w:rPr>
        <w:t xml:space="preserve">стве второй реплики в диалоге и, </w:t>
      </w:r>
      <w:r>
        <w:rPr>
          <w:rFonts w:ascii="Times New Roman" w:hAnsi="Times New Roman" w:cs="Times New Roman"/>
          <w:sz w:val="24"/>
          <w:szCs w:val="24"/>
          <w:lang w:val="ru-RU" w:bidi="fa-IR"/>
        </w:rPr>
        <w:t>выра</w:t>
      </w:r>
      <w:r w:rsidR="0006579F">
        <w:rPr>
          <w:rFonts w:ascii="Times New Roman" w:hAnsi="Times New Roman" w:cs="Times New Roman"/>
          <w:sz w:val="24"/>
          <w:szCs w:val="24"/>
          <w:lang w:val="ru-RU" w:bidi="fa-IR"/>
        </w:rPr>
        <w:t>ж</w:t>
      </w:r>
      <w:r>
        <w:rPr>
          <w:rFonts w:ascii="Times New Roman" w:hAnsi="Times New Roman" w:cs="Times New Roman"/>
          <w:sz w:val="24"/>
          <w:szCs w:val="24"/>
          <w:lang w:val="ru-RU" w:bidi="fa-IR"/>
        </w:rPr>
        <w:t xml:space="preserve">ающие неуместность высказывания адресата могут </w:t>
      </w:r>
      <w:r w:rsidR="0006579F">
        <w:rPr>
          <w:rFonts w:ascii="Times New Roman" w:hAnsi="Times New Roman" w:cs="Times New Roman"/>
          <w:sz w:val="24"/>
          <w:szCs w:val="24"/>
          <w:lang w:val="ru-RU" w:bidi="fa-IR"/>
        </w:rPr>
        <w:t>служить с</w:t>
      </w:r>
      <w:r w:rsidR="0006579F" w:rsidRPr="00AC23CC">
        <w:rPr>
          <w:rFonts w:ascii="Times New Roman" w:hAnsi="Times New Roman" w:cs="Times New Roman"/>
          <w:sz w:val="24"/>
          <w:szCs w:val="24"/>
          <w:lang w:val="ru-RU"/>
        </w:rPr>
        <w:t>игналом коммуникативной неудачи</w:t>
      </w:r>
      <w:r w:rsidR="000657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4A7B" w:rsidRPr="00C04A7B" w:rsidRDefault="00C04A7B" w:rsidP="005721F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fa-IR"/>
        </w:rPr>
      </w:pPr>
      <w:r w:rsidRPr="00C04A7B">
        <w:rPr>
          <w:rFonts w:ascii="Times New Roman" w:hAnsi="Times New Roman" w:cs="Times New Roman"/>
          <w:b/>
          <w:bCs/>
          <w:sz w:val="24"/>
          <w:szCs w:val="24"/>
          <w:lang w:val="ru-RU" w:bidi="fa-IR"/>
        </w:rPr>
        <w:t>Литература</w:t>
      </w:r>
    </w:p>
    <w:p w:rsidR="002A61C4" w:rsidRDefault="002A61C4" w:rsidP="00C0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fa-IR"/>
        </w:rPr>
      </w:pPr>
      <w:r w:rsidRPr="002A61C4">
        <w:rPr>
          <w:rFonts w:ascii="Times New Roman" w:hAnsi="Times New Roman" w:cs="Times New Roman"/>
          <w:sz w:val="24"/>
          <w:szCs w:val="24"/>
          <w:lang w:val="ru-RU" w:bidi="fa-IR"/>
        </w:rPr>
        <w:t>Ермакова Е. Н., Земская Е. А. К построению типологии коммуникативных неудач // Русский язык в его функционировании. Коммуникативно-прагматический аспект. – М., 1993. – С. 30-64.</w:t>
      </w:r>
    </w:p>
    <w:p w:rsidR="00266D6C" w:rsidRDefault="002A61C4" w:rsidP="00C0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fa-IR"/>
        </w:rPr>
      </w:pPr>
      <w:r w:rsidRPr="002A61C4">
        <w:rPr>
          <w:rFonts w:ascii="Times New Roman" w:hAnsi="Times New Roman" w:cs="Times New Roman"/>
          <w:sz w:val="24"/>
          <w:szCs w:val="24"/>
          <w:lang w:val="ru-RU" w:bidi="fa-IR"/>
        </w:rPr>
        <w:t>Кобозева И. М. О первичных и вторичных функциях вопросительных предложений // Текст в речевой деятельности: Перевод и лингвистический анализ. – М., 1988. – С. 39-45.</w:t>
      </w:r>
    </w:p>
    <w:p w:rsidR="00CD1E4F" w:rsidRDefault="002A61C4" w:rsidP="00C0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C4">
        <w:rPr>
          <w:rFonts w:ascii="Times New Roman" w:hAnsi="Times New Roman" w:cs="Times New Roman"/>
          <w:sz w:val="24"/>
          <w:szCs w:val="24"/>
          <w:lang w:val="ru-RU"/>
        </w:rPr>
        <w:t>Кронгауз М. А. Семантика.– М., 2005. – 352 с.</w:t>
      </w:r>
      <w:r w:rsidR="008159EF" w:rsidRPr="001C6F88">
        <w:rPr>
          <w:rFonts w:ascii="Times New Roman" w:hAnsi="Times New Roman" w:cs="Times New Roman"/>
          <w:sz w:val="24"/>
          <w:szCs w:val="24"/>
          <w:lang w:val="ru-RU"/>
        </w:rPr>
        <w:t>Розенталь Д.Э. Современный русский язык. М, 2005.</w:t>
      </w:r>
    </w:p>
    <w:p w:rsidR="002A61C4" w:rsidRPr="002A61C4" w:rsidRDefault="002A61C4" w:rsidP="00572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61C4" w:rsidRPr="002A61C4" w:rsidSect="00D95330">
      <w:pgSz w:w="12240" w:h="15840"/>
      <w:pgMar w:top="1134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EF"/>
    <w:rsid w:val="00007369"/>
    <w:rsid w:val="00035CF1"/>
    <w:rsid w:val="00035E3C"/>
    <w:rsid w:val="000560D6"/>
    <w:rsid w:val="000578A1"/>
    <w:rsid w:val="00060E94"/>
    <w:rsid w:val="0006579F"/>
    <w:rsid w:val="000B163B"/>
    <w:rsid w:val="000B4424"/>
    <w:rsid w:val="00112B43"/>
    <w:rsid w:val="00152E5C"/>
    <w:rsid w:val="00165FC5"/>
    <w:rsid w:val="00187192"/>
    <w:rsid w:val="001C6F88"/>
    <w:rsid w:val="00266D6C"/>
    <w:rsid w:val="002A61C4"/>
    <w:rsid w:val="00300A3E"/>
    <w:rsid w:val="00327C63"/>
    <w:rsid w:val="0039072E"/>
    <w:rsid w:val="003B17AC"/>
    <w:rsid w:val="003F4426"/>
    <w:rsid w:val="0041647E"/>
    <w:rsid w:val="00447480"/>
    <w:rsid w:val="004814DE"/>
    <w:rsid w:val="0049624D"/>
    <w:rsid w:val="004C53C2"/>
    <w:rsid w:val="004E019B"/>
    <w:rsid w:val="0050315D"/>
    <w:rsid w:val="00513705"/>
    <w:rsid w:val="005213FD"/>
    <w:rsid w:val="005721F2"/>
    <w:rsid w:val="005B3385"/>
    <w:rsid w:val="005C6996"/>
    <w:rsid w:val="00743788"/>
    <w:rsid w:val="007507A5"/>
    <w:rsid w:val="00791CF2"/>
    <w:rsid w:val="007E1E82"/>
    <w:rsid w:val="007F0C57"/>
    <w:rsid w:val="007F25BC"/>
    <w:rsid w:val="007F3074"/>
    <w:rsid w:val="008159EF"/>
    <w:rsid w:val="008438A8"/>
    <w:rsid w:val="008B338E"/>
    <w:rsid w:val="00932B53"/>
    <w:rsid w:val="00981593"/>
    <w:rsid w:val="00A90D50"/>
    <w:rsid w:val="00AC23CC"/>
    <w:rsid w:val="00AE4720"/>
    <w:rsid w:val="00B22D69"/>
    <w:rsid w:val="00BA2D49"/>
    <w:rsid w:val="00C04A7B"/>
    <w:rsid w:val="00C1130A"/>
    <w:rsid w:val="00C306C2"/>
    <w:rsid w:val="00CD1E4F"/>
    <w:rsid w:val="00CE2036"/>
    <w:rsid w:val="00D16387"/>
    <w:rsid w:val="00D25F2E"/>
    <w:rsid w:val="00D41D0B"/>
    <w:rsid w:val="00D63FE9"/>
    <w:rsid w:val="00D95330"/>
    <w:rsid w:val="00D97AC6"/>
    <w:rsid w:val="00DA796E"/>
    <w:rsid w:val="00E36802"/>
    <w:rsid w:val="00EE587E"/>
    <w:rsid w:val="00F33F1F"/>
    <w:rsid w:val="00F56CB2"/>
    <w:rsid w:val="00F83406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782</Words>
  <Characters>4937</Characters>
  <Application>Microsoft Office Word</Application>
  <DocSecurity>0</DocSecurity>
  <Lines>78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saideh</cp:lastModifiedBy>
  <cp:revision>19</cp:revision>
  <dcterms:created xsi:type="dcterms:W3CDTF">2014-02-22T14:38:00Z</dcterms:created>
  <dcterms:modified xsi:type="dcterms:W3CDTF">2014-02-27T08:30:00Z</dcterms:modified>
</cp:coreProperties>
</file>